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fill="FFFFFF"/>
        <w:spacing w:line="240" w:lineRule="auto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0"/>
          <w:szCs w:val="20"/>
        </w:rPr>
        <w:t xml:space="preserve">Datum: </w:t>
      </w:r>
      <w:r>
        <w:rPr>
          <w:rFonts w:hint="default" w:ascii="Times New Roman" w:hAnsi="Times New Roman" w:eastAsia="Times New Roman" w:cs="Times New Roman"/>
          <w:sz w:val="20"/>
          <w:szCs w:val="20"/>
          <w:lang w:val="en-GB"/>
        </w:rPr>
        <w:t>7.9.2026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</w:p>
    <w:p>
      <w:pPr>
        <w:pStyle w:val="3"/>
        <w:shd w:val="clear" w:fill="FFFFFF"/>
        <w:spacing w:line="240" w:lineRule="auto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Broj: 97/2026</w:t>
      </w:r>
    </w:p>
    <w:p>
      <w:pPr>
        <w:pStyle w:val="3"/>
        <w:shd w:val="clear" w:fill="FFFFFF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pStyle w:val="3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U skladu sa članom 3. stav 5. Poslovnika o radu Etičkog odbora Srbije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</w:t>
      </w:r>
    </w:p>
    <w:p>
      <w:pPr>
        <w:pStyle w:val="3"/>
        <w:shd w:val="clear" w:fill="FFFFFF"/>
        <w:jc w:val="center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DNEVNI RED sednice EOS-a</w:t>
      </w:r>
    </w:p>
    <w:p>
      <w:pPr>
        <w:pStyle w:val="3"/>
        <w:shd w:val="clear" w:fill="FFFFFF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                                                            </w:t>
      </w:r>
    </w:p>
    <w:p>
      <w:pPr>
        <w:pStyle w:val="3"/>
        <w:shd w:val="clear" w:fill="FFFFFF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1. Usvajanje zapisnika sa prethodne radne sednice Etičkog odbora Srbije</w:t>
      </w:r>
    </w:p>
    <w:p>
      <w:pPr>
        <w:pStyle w:val="3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2. Razmatranje odobrenja, izmena/dopuna za klinička ispitivanja:</w:t>
      </w:r>
    </w:p>
    <w:tbl>
      <w:tblPr>
        <w:tblStyle w:val="10"/>
        <w:tblW w:w="10250" w:type="dxa"/>
        <w:tblInd w:w="-2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2634"/>
        <w:gridCol w:w="1026"/>
        <w:gridCol w:w="1985"/>
        <w:gridCol w:w="1592"/>
        <w:gridCol w:w="18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hd w:val="clear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4"/>
              </w:rPr>
              <w:t>Br. zahteva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hd w:val="clear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4"/>
              </w:rPr>
              <w:t xml:space="preserve">Naziv Ispitivanja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hd w:val="clear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4"/>
              </w:rPr>
              <w:t xml:space="preserve">Protokol 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hd w:val="clear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4"/>
              </w:rPr>
              <w:t>Ustanove</w:t>
            </w: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4"/>
              </w:rPr>
              <w:t xml:space="preserve">Sponzor </w:t>
            </w: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hd w:val="clear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4"/>
              </w:rPr>
              <w:t>Podnosilac zahteva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001443924 2026 59010 007 000 515  027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Randomizovana, placebom kontrolisana, dvostruko slepa studija faze 2 sa paralelnim grupama za procenu efikasnosti i bezbednosti oralnog leka BI 3000202 kod pacijenata sa umerenim do teškim sistemskim eritemskim lupusom (SEL)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1509-0004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OPŠTA BOLNICA "ĐORĐE JOANOVIĆ" ZRENjANIN,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ORG-100000481, Boehringer Ingelheim International GmbH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IQVIA RDS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002337068 2026 59010 007 000 515  027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Otvorena, multicentrična studija faze 1b/2 za procenu bezbednosti i efikasnosti leka KRT-232 u kombinaciji sa ruksolitinibom kod pacijenata sa primarnom mijelofibrozom (PMF), mijelofibrozom koja je posledica policitemije vera (post-PV-MF) ili mijelofibrozom koja je posledica esencijalne trombocitemije (post-ET-MF) koji imaju suboptimalan odgovor na ruksolitinib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KRT-232-109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ORG-100013082, Kartos Therapeutics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Syneos Health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002337093 2026 59010 007 000 515  027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12-nedeljna, multicentrična, randomizovana, dvostruko slepa, placebom kontrolisana studija sa monoterapijom za procenu efikasnosti roluperidona na negativne simptome kod odraslih ispitanika sa shizofrenijom, nakon čega sledi 40-nedeljna, randomizovana, double dummy faza za procenu stope recidiva kod roluperidona i antipsihotika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MIN-101C19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KRAGUJEVAC, Klinika za psihijatriju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MENTALNO ZDRAVLjE,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Specijalna bolnica za psihijatrijske bolesti „Gornja Toponica”,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ORG-100007779, Minerva Neurosciences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Syneos Health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003381913 2026 59010 007 000 515  027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Efikasnost i bezbednost zenagamtida s.c. jednom nedeljno u poređenju sa semaglutidom s.c. jednom nedeljno u nižim dozama kod učesnika sa neadekvatno kontrolisanim dijabetesom tipa 2 koji primaju metformin, SGLT2 inhibitor ili oba leka (AMBITION 4)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NN9489-8449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Zdravstveni centar Sremska Mitrovica,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KLINIČKO BOLNIČKI CENTAR "ZVEZDARA" -BEOGRAD, KLINIKA ZA ENDOKRINOLOGIJU, DIJABETES I BOLESTI METABOLIZMA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KLINIČKO-BOLNIČKI CENTAR "BEŽANIJSKA KOSA", Klinika za internu medicinu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ZDRAVSTVENI CENTAR VALjEVO,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KLINIČKO BOLNIČKI CENTAR "ZVEZDARA" -BEOGRAD, KLINIKA ZA ENDOKRINOLOGIJU, DIJABETES I BOLESTI METABOLIZMA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Opšta bolnica „Dr Radivoj Simonović“ Sombor,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SPECIJALNA BOLNICA ZA LEČENjE I REHABILITACIJU "MERKUR" VRNjAČKA BANjA,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ZDRAVSTVENI CENTAR ZAJEČAR,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ORG-100001351, Novo Nordisk A/S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NOVO NORDISK PHARMA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002733235 2026 59010 007 000 515  027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Randomizovano, placebom kontrolisano, dvostruko slepo ispitivanje faze 2b sa određivanjem raspona doza, za procenu efikasnosti i bezbednosti ontunisertiba kod pacijenata sa fibrostenozirajućom Kronovom bolešću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AGMB129-01-CL-201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 BOLNIČKI CENTAR "ZVEZDARA" -BEOGRAD,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"DR DRAGIŠA MIŠOVIĆ-DEDINjE",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ORG-100042056, Agomab Spain S.L.U.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PSI CRO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002963572 2026 59010 007 000 515  027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Multicentrična, randomizovana, dvostruko slepa, placebom kontrolisana studija faze 3 kojom se ispituje efikasnost i bezbednost SD-101 u formulaciji krema kod ispitanika sa buloznom epidermolizom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SD-007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dermatovenerologiju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ORG-100056177, Paradigm Therapeutics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HT RESEARCH SB DOO SUBOTICA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003294780 2026 59010 007 000 515  027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Multicentrični, randomizovani master protokol faze II/III za globalno ispitivanje leka BNT327 u kombinaciji sa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hemioterapijom i drugim ispitivanim agensima u prvoj liniji lečenja nemikrocelularnog karcinoma pluća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BNT327-06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PLUĆNE BOLESTI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ONKOLOGIJU I RADIOLOGIJU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 Klinika za pulmologiju,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ORG-100014714, BioNTech SE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ICON CLINICAL RESEARCH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002963627 2026 59010 007 000 515  027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Multicentrična otvorena studija produžetka za procenu bezbednosti SD-101 u formulaciji krema kod ispitanika sa buloznom epidermolizom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SD-008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dermatovenerologiju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ORG-100056177, Paradigm Therapeutics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HT RESEARCH SB DOO SUBOTICA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002810028 2026 59010 007 000 515  027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Randomizovana, dvostruko slepa, placebom kontrolisana, multicentrična studija faze 3 sa paralelnim grupama za procenu efikasnosti i bezbednosti praška za inhalaciju treprostinil palmitila primenjivanog jednom dnevno kod učesnika sa plućnom arterijskom hipertenzijom (PALM-PAH)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INS1009-301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Klinika za kardiologiju,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Klinika za pulmologiju,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PLUĆNE BOLESTI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ORG-100006614, Insmed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PPD SERBIA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002569495 2026 59010 007 000 515  027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Multicentrična, randomizovana, dvostruko slepa, dvostruko maskirana studija faze III za procenu efikasnosti i bezbednosti leka Letrozol SIE u poređenju sa lekom Femara® (oba u kombinaciji sa CDK4/6 inhibitorom ribociklibom) kod postmenopauzalnih žena sa HR-pozitivnim, HER2-negativnim, neoperabilnim lokalno uznapredovalim ili metastatskim karcinomom dojke (SIE-3)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ROV-SIE-2025-02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ONKOLOGIJU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ONKOLOGIJU I RADIOLOGIJU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ZDRAVSTVENI CENTAR VALjEVO,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ORG-100000661, Laboratorios Farmaceuticos Rovi S.A.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PAREXEL INTERNATIONAL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002485571 2026 59010 007 000 515  027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Multicentrična, randomizovana, dvostruko slepa studija sa dve terapijske grane za procenu komparativne farmakokinetike, efikasnosti, bezbednosti i imunogenosti između intravenski primenjenog leka AVT32-DRL_PB i leka Keytruda® kao adjuvantne terapije kod učesnika sa melanomom stadijuma IIB/C-III nakon potpune resekcije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AVT32-DRL-TPK-02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ONKOLOGIJU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AKADEMIJA, Klinika za kožne i polne bolesti,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ORG-100033146, Alvotech Swiss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Syneos Health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i/>
                <w:sz w:val="14"/>
                <w:szCs w:val="14"/>
              </w:rPr>
              <w:t>Ugovorna istraživačka organizacija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002809950 2026 59010 007 000 515  027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SL0046 - Multicentrično, otvoreno, produžno istraživanje za procenu dugoročne bezbednosti i podnošljivosti lečenja dapirolizumab pegolom kod ispitanika sa sistemskim eritematoznim lupusom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SL0046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AKADEMIJA, Klinika za reumatologiju,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NEFROLOGIJU-SLUŽBA ZA STACIONARNO LEČENJE-Odeljenje kliničke nefrologije i imunologije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LEČENjE I REHABILITACIJU "NIŠKA BANjA"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REUMATOLOGIJU,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ORG-100007976, UCB Biopharma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PAREXEL INTERNATIONAL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002429046 2026 59010 007 000 515  027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230LE305 - Multicentrični, otvoreni, dugoročni produžetak studije 3. faze sa jednom granom za procenu kontinuirane bezbednosti i efikasnosti leka BIIB059 (litifilimab) kod odraslih učesnika sa aktivnim subakutnim kožnim eritemskim lupusom i/ili hroničnim kožnim eritemskim lupusom sa sistemskim manifestacijama ili bez njih, i čija je bolest refraktorna na antimalaričnu terapiju i/ili su učesnici netolerantni na nju (AMETHYST LTE)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230LE305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REUMATOLOGIJU,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ORG-100042483, Biogen Idec Research Limited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IQVIA RDS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002378990 2026 59010 007 000 515  027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230LE301 - Dvodelna, kontinuirana, randomizovana, dvostruko slepa, placebom kontrolisana, multicentrična studija koja se sastoji iz dela A (faza 2) i dela B (faza 3) za procenu efikasnosti i bezbednosti leka BIIB059 kod učesnika sa aktivnim subakutnim kožnim eritemskim lupusom i/ili hroničnim kožnim eritemskim lupusom sa sistemskim manifestacijama ili bez njih i čija je bolest refraktorna na antimalaričnu terapiju i/ili su učesnici netolerantni na nju (AMETHYST)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230LE301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REUMATOLOGIJU,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ORG-100042483, Biogen Idec Research Limited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IQVIA RDS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003682071 2026 59010 007 000 515  027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CLTP001A12202 - Randomizovana, dvostruko slepa, placebom kontrolisana studija za procenu bezbednosti, podnošljivosti i farmakokinetike pojedinačnih i višestrukih rastućih doza leka LTP001 kod zdravih odraslih ispitanika (deo A) i za procenu efikasnosti i bezbednosti leka LTP001 za lečenje ispitanika sa plućnom arterijskom hipertenzijom (deo B)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CLTP001A12202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KARDIOVASKULARNE BOLESTI "DEDINjE",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NIŠ, Klinika za kardiovaskularne bolesti Odeljenje za lečenje hroničnih srčanih bolesnika Odsek za hroničnu koronarnu bolest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plućne bolesti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 bolnički centar Zemun Klinika za internu medicinu, Služba pulmologije sa pneumoftiziologijom,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ORG-100034028, Novartis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PAREXEL INTERNATIONAL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003776843 2026 59010 007 000 515  027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GN41851 - MULTICENTRICNA, RANDOMIZOVANA, DVOSTRUKO SLEPA STUDIJA III FAZE SA DVOSTRUKIM PLACEBOM I PARALELNIM GRUPAMA ZA PROCENU EFIKASNOSTI I BEZBEDNOSTI FENEBRUTINIBA U POREĐENJU SA TERIFLUNOMIDOM KOD ODRASLIH PACIJENATA SA RELAPSNOM MULTIPLOM SKLEROZOM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GN41851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ORG-100001445, F. Hoffmann-La Roche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ROCHE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002985254 2026 59010 007 000 515  027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DNTH103-CIDP-301 - Randomizovana, dvostruko slepa, placebom kontrolisana studija 3. faze za procenu efikasnosti i bezbednosti DNTH103 kod odraslih sa hroničnom inflamatornom demijelinizirajućom polineuropatijom (CAPTIVATE)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DNTH103-CIDP-301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ORG-100049300, Dianthus Therapeutics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WORLDWIDE CLINICAL TRIALS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002944348 2026 59010 007 000 515  027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ID-076A301 - Randomizovano, dvostruko slepo, paralelno, placebom kontrolisano, multicentrično kliničko ispitivanje efikasnosti i bezbednosti samostalno, supkutano primenjenog selatogrela u terapiji akutnog infarkta miokarda i prevenciji mortaliteta svih uzroka kod ispitanika sa nedavnom istorijom akutnog infarkta miokarda.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ID-076A301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KARDIOVASKULARNE BOLESTI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ZDRAVSTVENI CENTAR UŽICE,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ZDRAVSTVENI CENTAR ZAJEČAR,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OPŠTA BOLNICA LESKOVAC,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"ZEMUN",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"DR DRAGIŠA MIŠOVIĆ-DEDINjE",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 BOLNIČKI CENTAR "ZVEZDARA" -BEOGRAD,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OPŠTA BOLNICA NOVI PAZAR,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OPŠTA BOLNICA SUBOTICA, SUBOTICA,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ORG-100053414, Viatris Innovation GmbH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Precision for Medicine (RS)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003236169 2026 59010 007 000 515  027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CTX-791-201 - Randomizovana, dvostruko slepa, placebom kontrolisana, multicentrična studija 2. faze za procenu efikasnosti, bezbednosti i podnošljivosti oralno primenjenog leka PIPE-791 kod ispitanika sa idiopatskom plućnom fibrozom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CTX-791-201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pulmologiju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PLUĆNE BOLESTI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ORG-100054190, Contineum Therapeutics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PPD SERBIA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002902819 2026 59010 007 000 515  027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ALXN1720-MG-301 - Randomizovana, dvostruko slepa, placebom kontrolisana, paralelna, multicentrična studija faze 3 za procenu bezbednosti i efikasnosti ALXN1720 kod odraslih osoba sa generalizovanom mijastenijom gravis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ALXN1720-MG-301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Opšta bolnica MSB – Medicinski Sistem Beograd,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ORG-100006294, Alexion Pharmaceuticals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IQVIA RDS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003744975 2026 59010 007 000 515  027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GA45330 - MULTICENTRIČNA, DVOSTRUKO SLEPA, PLACEBO KONTROLISANA STUDIJA FAZE III KOJOM SE PROCENJUJE EFIKASNOST I BEZBEDNOST INDUKCIONE TERAPIJE LEKOM RO7790121 KOD PACIJENATA SA AKTIVNIM UMERENO DO TEŠKIM OBLIKOM ULCEROZNOG KOLITISA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GA45330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Opšta bolnica ''Đorđe Joanović'' Zrenjanin, Interno odeljenje - odsek gastroenterologije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ORG-100001445, F. Hoffmann-La Roche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ROCHE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002810123 2026 59010 007 000 515  027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GC2202 - Randomizovano, multicentrično, dvostruko slepo, placebo kontrolisano kliničko ispitivanje na paralelnim grupama za procenu efikasnosti, bezbednosti i farmakokinetike terapije XEMBIFY® u kombinaciji sa standardnim medicinskim lečenjem u poređenju sa kombinacijom placeba i standardnog medicinskog lečenja radi sprečavanja infekcije kod pacijenata sa hipogamaglobulinemijom i rekurentnim ili teškim infekcijama povezanim sa hroničnom limfocitnom leukemijom B ćelija, multiplim mijelomom i ne-Hodžkinovim limfomom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GC2202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AKADEMIJA, Klinika za hematologiju,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"ZEMUN",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Grifols Therapeutics LLC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HT RESEARCH SB DOO SUBOTICA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003667207 2026 59010 007 000 515  027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COR1167-201 - Agonist kortikotropin-oslobađajućeg faktora 2 za lečenje pogoršanja srčane insuficijencije (WHF) – Studija CRAFT-WHF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COR1167-201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KARDIOVASKULARNE BOLESTI "DEDINjE",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Niš, Klinika za kardiologiju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Kliničko bolnički centar „Dr Dragiša Mišović -Dedinje, Centar za srčanu insuficijenciju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KRAGUJEVAC, Klinika za kardiologiju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kardiologiju, Odeljenje srčane insuficijencije, 9.sprat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kardiologiju, Služba urgentne kardiologije, 1. sprat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kardiologiju Odeljenje za ispitivanje i lečenje urođenih i stečenih srčanih mana, 9 sprat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Institut za lečenje i rehabilitaciju Niška Banja, Klinika za kardiologiju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Opšta bolnica Leskovac, Odeljenje kardiologije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ORG-100049425, Corteria Pharmaceuticals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WORLDWIDE CLINICAL TRIALS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003509726 2026 59010 007 000 515  027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SMT112-3007 - Randomizovana, dvostruko slepa, multiregionalna studija 3. faze ivonescimaba naspram pembrolizumaba kao prve linije lečenja metastatskog nemikrocelularnog karcinoma pluća kod pacijenata čiji tumori pokazuju visoku ekspresiju PD-L1 (HARMONi-7)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SMT112-3007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KRAGUJEVAC, Centar za internističku onkologiju Odeljenje medikalne onkologije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INSTITUT ZA PLUĆNE BOLESTI VOJVODINE, KLINIKA ZA PULMOLOŠKU ONKOLOGIJU-dnevna bolnica za hemoterapiju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KLINIČKO-BOLNIČKI CENTAR "BEŽANIJSKA KOSA", Klinika za onkologiju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Acibadem Bel Medic - Opšta bolnica, Opšta bolnica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ORG-100047084, Summit Therapeutics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Tigermed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003509745 2026 59010 007 000 515  027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MT-100-201 - Multicentrična, platforma studija faze 2 za procenu bezbednosti, efikasnosti, farmakokinetike i farmakodinamike višestrukih terapija kod učesnika obolelih od aktivne Kronove bolesti ili aktivnog ulceroznog kolitisa (ASCEND-IBD)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MT-100-201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OPŠTA BOLNICA "ĐORĐE JOANOVIĆ" ZRENjANIN,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 BOLNIČKI CENTAR "ZVEZDARA" -BEOGRAD,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ORG-100054156, Mirador Therapeutics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PSI CRO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003744906 2026 59010 007 000 515  027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BP42230 - „MULTICENTRIČNA, NERANDOMIZOVANA, OTVORENA, ADAPTIVNA, STUDIJA FAZE IB ZA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PARALELNO ISPITIVANJE BEZBEDNOSTI, PODNOŠLJIVOSTI, IMUNOGENOSTI,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FARMAKOKINETIKE I FARMAKODINAMIKE POJEDINAČNIH RASTUĆIH DOZA (DEO 1 I DEO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2) I VIŠESTRUKIH RASTUĆIH DOZA (DEO 3) RO7121932, NAKON INTRAVENSKE (DEO 1) 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SUPKUTANE PRIMENE (DEO 2 I 3) KOD OSOBA SA MULTIPLOM SKLEROZOM “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BP42230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NEUROLOGIJU-SLUŽBA STACIONARA-Odeljenje za imunski posredovane bolesti CNS - V odeljenje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ORG-100001445, F. Hoffmann-La Roche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ROCHE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003644249 2026 59010 007 000 515  027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GB-0895-302 - Randomizovana, dvostruko slepa, placebom kontrolisana studija faze 3 za procenu efikasnosti i bezbednosti pomoćne terapije lekom GB-0895 kod odraslih i adolescenata sa teškom nekontrolisanom astmom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GB-0895-302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zdravstvenu zaštitu majke i deteta Srbije "Dr Vukan Čupić",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pulmologiju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PLUĆNE BOLESTI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ZDRAVSTVENI CENTAR UŽICE,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UNIVERZITETSKA DEČJA KLINIKA,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ZDRAVSTVENU ZAŠTITU DECE I OMLADINE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ORG-100048877, Generate Biomedicines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PPD SERBIA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003571433 2026 59010 007 000 515  027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EX6018-4915 - HERMES: Efekti leka ziltivekimab u odnosu na placebo na morbiditet i mortalitet kod pacijenata sa srčanom insuficijencijom sa blago smanjenom ili očuvanom ejekcionom frakcijom i sistemskom upalom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EX6018-4915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ZDRAVSTVENI CENTAR UŽICE,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KARDIOVASKULARNE BOLESTI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Opšta bolnica "Euromedik 2",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"ZEMUN", Klinika za internu medicinu,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ORG-100001351, Novo Nordisk A/S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NOVO NORDISK PHARMA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003382048 2026 59010 007 000 515  027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CBP-201-206 - Faza 2, multicentrična, randomizovana, dvostruko slepa, u paralelnim grupama, placebom kontrolisana studija za procenu efikasnosti i bezbednosti Rademikibarta kao dodatne terapije za akutnu egzacerbaciju kod odraslih i adolescentnih ispitanika sa astmom i inflamacijom tipa 2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CBP-201-206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PLUĆNE BOLESTI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Zavod za plućne bolesti i tuberkulozu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ZDRAVSTVENI CENTAR UŽICE,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"DR DRAGIŠA MIŠOVIĆ-DEDINjE",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"ZEMUN",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ORG-100027543, Connect Biopharm LLC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CLINRES FARMACIJA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002870537 2026 59010 007 000 515  027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ML-007C-MA-221 - Randomizovana, dvostruko slepa, placebom kontrolisana studija za procenu efikasnosti i bezbednosti leka ML-007C-MA za lečenje halucinacija i deluzija povezanih sa psihozom izazvanom Alchajmerovom bolešću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ML-007C-MA-221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"DR DRAGIŠA MIŠOVIĆ-DEDINjE",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ORG-100052944, Maplight Therapeutics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Premier Research S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002809994 2026 59010 007 000 515  027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SPR207796 - 52-nedeljna multicentrična, randomizovana, dvostruko slepa, placebom kontrolisana studija sa različitim dozama nemolizumaba kod odraslih pacijenata sa sistemskom sklerozom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SPR207796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LEČENjE I REHABILITACIJU "NIŠKA BANjA"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REUMATOLOGIJU,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REUMATOLOGIJU,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ORG-100005103, Galderma S.A.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PPD SERBIA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003136027 2026 59010 007 000 515  027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GX-E4-CKD-002 - Randomizovana, za istraživača slepa, aktivno kontrolisana studija faze III za procenu efikasnosti i bezbednosti efepoetina alfa za lečenje anemije kod pacijenata sa hroničnom bolešću bubrega koji su na dijalizi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GX-E4-CKD-002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KLINIČKO BOLNIČKI CENTAR "ZVEZDARA", Klinika za interne bolesti, Kliničko odeljenje za nefrologiju i metaboličke poremećaje sa dijalizom „Prof. dr Vasilije Jovanović“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KRAGUJEVAC, Klinika za nefrologiju i dijalizu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NIŠ, Klinika za nefrologiju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ORG-100007391, Genexine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OPIS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003644258 2026 59010 007 000 515  027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TNT119-ITP-201 - Otvorena studija faze 1b/2a sa sekvencijalnom kohortom i eskalacijom i proširenjem doze, za procenu bezbednosti, podnošljivosti, farmakokinetike, farmakodinamike i preliminarne kliničke efikasnosti budoprutuga (TNT119) kod ispitanika sa imunskom trombocitopenijom (ITP)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TNT119-ITP-201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Vojnomedicinska akademija - Klinika za hematologiju, Klinika za hematologiju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hematologiju, Klinika za hematologiju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Vojvodine, Klinika za hematologiju, Klinika za hematologiju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ORG-100053254, Climb Bio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PPD SERBIA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002485582 2026 59010 007 000 515  027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URO-901-3007 - Otvorena, multicentrična, dugoročna studija faze 2/3 kontrolisana početnim parametrima za procenu bezbednosti, efikasnosti i farmakokinetike vibegrona kod pedijatrijskih ispitanika starosti od 2 godine do &lt; 18 godina sa neurogenom hiperaktivnošću detrusora (NDO) sa čistom intermitentnom kateterizacijom (CIC)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URO-901-3007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UNIVERZITETSKA DEČJA KLINIKA,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ZDRAVSTVENU ZAŠTITU DECE I OMLADINE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ORG-100004780, Sumitomo Pharma America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Syneos Health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003556452 2026 59010 007 000 515  027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LP352-301 - Randomizovana, dvostruko slepa, placebom kontrolisana, multicentrična studija faze 3 za ispitivanje efikasnosti, bezbednosti i podnošljivosti LP352 u lečenju napada kod dece i odraslih sa razvojnim i epileptičkim encefalopatijama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LP352-301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zdravstvenu zaštitu majke i deteta Srbije "Dr Vukan Čupić",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KLINIKA ZA NEUROLOGIJU I PSIHIJATRIJU ZA DECU I OMLADINU,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ORG-100042444, Longboard Pharmaceuticals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PPD SERBIA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003653472 2026 59010 007 000 515  027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SB27-3004 - Randomizovana, dvostruko slepa, multicentrična studija 3. faze za poređenje efikasnosti, bezbednosti, farmakokinetike i imunogenosti između leka SB27 (predloženi biosimilar pembrolizumaba) i leka Keytruda kod ispitanika sa metastatskim neskvamoznim nemikrocelularnim karcinomom pluća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SB27-3004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PLUĆNE BOLESTI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ORG-100006520, Samsung Bioepis Co. Ltd.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OPTIMAPHARM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003588052 2026 59010 007 000 515  027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CFTY720D2311 - Dvogodišnja, dvostruko slepa, randomizovana, multicentrična, aktivno kontrolisana studija osnovne faze kojom se procenjuje bezbednost i efikasnost fingolimoda primenjenog oralno jednom dnevno u poređenju sa interferonom β-1a primenjenim intramuskularno jednom sedmično kod pedijatrijskih pacijenata sa multiplom sklerozom, sa produženom fazom uzimanja fingolimoda u trajanju od pet godina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CFTY720D2311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UNIVERZITETSKA DEČJA KLINIKA,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ORG-100003911, Novartis Pharma Services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PSI CRO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003439420 2026 59010 007 000 515  027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CBAF312D2301 - Dvogodišnje, randomizovano, dvostruko slepo ispitivanje odsustva inferiornosti u tri grupe u kome se porede efikasnost i bezbednost ofatumumaba i siponimoda u odnosu na fingolimod kod pedijatrijskih pacijenata sa multiplom sklerozom, praćeno otvorenim produžetkom ispitivanja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CBAF312D2301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KLINIKA ZA NEUROLOGIJU I PSIHIJATRIJU ZA DECU I OMLADINU,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ORG-100003908, Novartis Pharma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PAREXEL INTERNATIONAL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003028172 2026 59010 007 000 515  027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NBI-1117568-SCZ3032 - Globalna, multicentrična, otvorena studija 3. faze za procenu dugoročne bezbednosti i podnošljivosti leka NBI-1117568 kod odraslih sa šizofrenijom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NBI-1117568-SCZ3032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MENTALNO ZDRAVLjE,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SPECIJALNA BOLNICA ZA PSIHIJATRIJSKE BOLESTI "GORNjA TOPONICA",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ORG-100006226, Neurocrine Biosciences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Premier Research S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003535797 2026 59010 007 000 515  027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P-Monofer-CHF-02 - Randomizovano, otvoreno, komparativno ispitivanje 3. faze sa maskiranom krajnjom tačkom gvožđe derizomaltoze naspram neintravenskog gvožđa kod ispitanika sa nedostatkom gvožđa i simptomatskom hroničnom srčanom insuficijencijom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P-Monofer-CHF-02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LEČENjE I REHABILITACIJU "NIŠKA BANjA"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KARDIOVASKULARNE BOLESTI "DEDINjE",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Opšta bolnica Euromedik 2,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KARDIOVASKULARNE BOLESTI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"DR DRAGIŠA MIŠOVIĆ-DEDINjE",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 BOLNIČKI CENTAR "ZVEZDARA" -BEOGRAD,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Opšta bolnica “Medicinski Sistem Beograd“ MSB Centar za klinička ispitivanja,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ORG-100002630, Pharmacosmos A/S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ICON CLINICAL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003177713 2026 59010 007 000 515  027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ACM-001-2024-01-CT - Dvodelna, randomizovana, multicentrična studija faze 2a koja uključuje deo sa paralelnim grupama, sa dvostruko slepim, placebom kontrolisanim, unakrsnim dizajnom, za procenu efekta dva nivoa doze (S)-pindolol benzoata (ACM-001.1) na bezmasnu telesnu masu kod gojaznih pacijenata tokom i nakon terapije semaglutidom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ACM-001-2024-01-CT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KLINIČKO-BOLNIČKI CENTAR "BEŽANIJSKA KOSA", Klinika za internu medicinu Odeljenje endokrinologije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ENDOKRINOLOGIJU, DIJABETES I BOL.METAB.-ODELJENJE ZA LEČENJE HRONIČNIH KOMPLIKACIJA U DIJABETESU I ISHRANI-Kabinet za ishranu i prevenciju metaboličkih poremećaja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Vojvodine, Klinika za endokrinologiju, dijabetes i bolesti metabolizma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KLINIČKO-BOLNIČKI CENTAR "DR DRAGIŠA MIŠOVIĆ-DEDINjE", Klinika za internu medicinu odeljenje endokrinologije Endokrinološka ambulanta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KRAGUJEVAC, Klinika za endokrinologiju, dijabetes i bolesti metabolizma Odeljenje za endokrinologiju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NIŠ, Klinika za endokrinologiju Odeljenje za endokrinologiju Odsek za bolesti metabolizma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OPŠTA BOLNICA PANČEVO, Služba za internu medicinu - Odsek endokrinologije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ORG-100026766, Actimed Therapeutics Limited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SCIRENT CLINICAL RESEARCH AND SCIENCE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002944229 2026 59010 007 000 515  027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ITI-1284-301 - Multicentrična, randomizovana, dvostruko-slepa, placebom kontrolisana studija za procenu efikasnosti, bezbednosti i podnošljivosti ITI-1284 kao dodatne terapije kod pacijenata sa generalizovanim anksioznim poremećajem koji imaju neadekvatan odgovor na terapiju generalizovanog anksioznog poremećaja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ITI-1284-301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"DR DRAGIŠA MIŠOVIĆ-DEDINjE",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PSIHIJATRIJU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MENTALNO ZDRAVLjE,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PSIHIJATRIJU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SPECIJALNA BOLNICA ZA PSIHIJATRIJSKE BOLESTI "SVETI VRAČEVI",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Klinika za psihijatriju,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SPECIJALNA BOLNICA ZA PSIHIJATRIJSKE BOLESTI KOVIN,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ORG-100007481, Intra-Cellular Therapies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WORLDWIDE CLINICAL TRIALS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002810027 2026 59010 007 000 515  027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19379A (REJOIN) - Dugoročna, otvorena (dozno slepa), produžena studija eptinezumaba kod dece i adolescenata sa hroničnom ili epizodičnom migrenom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19379A (REJOIN)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UNIVERZITETSKA DEČJA KLINIKA,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ZDRAVSTVENU ZAŠTITU DECE I OMLADINE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Vojvodine, Klinika za neurologiju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ORG-100001235, H. Lundbeck A/S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PPD SERBIA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003399531 2026 59010 007 000 515  027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P2-IMU-838-PMS - Multicentrična, randomizovana, dvostruko slepa, placebo kontrolisana studija za procenu efikasnosti, bezbednosti i podnošljivosti leka IMU-838 kod pacijenata sa progresivnom multiplom sklerozom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P2-IMU-838-PMS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KLINIČKI CENTAR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KRAGUJEVAC,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"ZEMUN",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ORG-100010300, Immunic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Syneos Health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002714029 2026 59010 007 000 515  027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EIK1001-006 - Multicentrična, randomizovana, dvostruko slepa, kontrolisana aktivnim komparatorom, adaptivna studija faze 2/3 za procenu bezbednosti i efikasnosti leka EIK1001 i pembrolizumaba, u poređenju s placebom i pembrolizumabom, kao prve linije terapije kod učesnika s uznapredovalim melanomom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EIK1001-006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VOJNOMEDICINSKA AKADEMIJA,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Institut za onkologiju Vojvodine, Klinika za internu onkologiju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ORG-100049053, Eikon Therapeutics Inc.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ICON CLINICAL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003744955 2026 59010 007 000 515  027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BO39633 - Otvorena, multicentrična ekstenziona studija i dugoročna opservaciona studija kod pacijenata koji su prethodno bili uključeni u studiju sa Atezolizumabom koju su sponzorisali Genentech i/ili F.Hoffmann-La Roche Ltd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BO39633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ORG-100001445, F. Hoffmann-La Roche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ROCHE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003701286 2026 59010 007 000 515  027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NN9838-4968 - Efikasnost, bezbednost i farmakokinetika kagrilintida s.c. u dozi od 2,4 mg u monoterapiji i u kombinaciji sa semaglutidom s.c. u dozi od 2,4 mg (CagriSema) jednom nedeljno za kontrolu težine kod dece i adolescenata sa prekomernom težinom ili gojaznošću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NN9838-4968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UNIVERZITETSKA DEČJA KLINIKA,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ZDRAVSTVENU ZAŠTITU MAJKE I DETETA SRBIJE "DR VUKAN ČUPIĆ",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ZDRAVSTVENU ZAŠTITU DECE I OMLADINE VOJVODINE,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ORG-100001351, Novo Nordisk A/S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NOVO NORDISK PHARMA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003744894 2026 59010 007 000 515  027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BO29554 - MULTICENTRIČNA STUDIJA FAZE II/III ISPITIVANJA EFIKASNOSTI I BEZBEDNOSTI RAZLIČITIH CILJANIH TERAPIJA KOD PACIJENATA SA UZNAPREDOVALIM ILI METASTATSKIM NESITNOĆELIJSKIM KARCINOMOM PLUĆA KOJI IMAJU AKTIVIRAJUĆE SOMATSKE MUTACIJE DETEKTOVANE IZ KRVI (B-FAST - studija sa primarnim skriningom iz krvi)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BO29554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ORG-100001445, F. Hoffmann-La Roche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ROCHE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003422358 2026 59010 007 000 515  027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NN9535-4352 - Dugoročni efekti semaglutida na dijabetesnu retinopatiju kod ispitanika sa dijabetes melitusom tip 2 (FOCUS)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NN9535-4352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 BOLNIČKI CENTAR "ZVEZDARA" -BEOGRAD,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NIŠ,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ORG-100001351, Novo Nordisk A/S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NOVO NORDISK PHARMA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003667237 2026 59010 007 000 515  027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42847922MDD3003 - Dvodelna multicentrična, dvostruko slepa, randomizovana, placebom kontrolisana studija za procenu efikasnosti, bezbednosti i održavanja efekta seltoreksanta od 20 mg kao dodatne terapije uz antidepresive kod odraslih i starijih pacijenata sa velikim depresivnim poremećajem sa simptomima nesanice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42847922MDD3003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SPECIJALNA BOLNICA ZA PSIHIJATRIJSKE BOLESTI "SVETI VRAČEVI",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Specijalna bolnica za psihijatrijske bolesti „Kovin“,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psihijatriju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SPECIJALNA BOLNICA ZA PSIHIJATRIJSKE BOLESTI "GORNJA TOPONICA",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 bolnički centar "Dr Dragiša Mišović - 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ORG-100001417, Janssen Cilag International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IQVIA RDS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003609471 2026 59010 007 000 515  027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BO29554 - MULTICENTRIČNA STUDIJA FAZE II/III ISPITIVANJA EFIKASNOSTI I BEZBEDNOSTI RAZLIČITIH CILJANIH TERAPIJA KOD PACIJENATA SA UZNAPREDOVALIM ILI METASTATSKIM NESITNOĆELIJSKIM KARCINOMOM PLUĆA KOJI IMAJU AKTIVIRAJUĆE SOMATSKE MUTACIJE DETEKTOVANE IZ KRVI (B-FAST - studija sa primarnim skriningom iz krvi)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BO29554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KLINIČKO-BOLNIČKI CENTAR "BEŽANIJSKA KOSA",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UNIVERZITETSKI KLINIČKI CENTAR SRBIJE,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ORG-100001445, F. Hoffmann-La Roche AG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ROCHE DOO BEOGRAD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003236264 2026 59010 007 000 515  027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ARGX-117-2302 - Randomizovana, dvostruko slepa, double-dummy studija faze 3 kojom se procenjuje efikasnost i bezbednost empasiprubarta u odnosu na intravenski imunoglobulin kod odraslih sa multifokalnom motornom neuropatijom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ARGX-117-2302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neurologiju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ORG-100006369, Argenx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PPD SERBIA DOO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001877767 2026 59010 007 000 515  027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KPL-387-C211 - Studija efikasnosti i bezbednosti faze 2/3 lečenja lekom KPL-387 kod učesnika sa rekurentnim perikarditisom </w:t>
            </w:r>
          </w:p>
        </w:tc>
        <w:tc>
          <w:tcPr>
            <w:tcW w:w="1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KPL-387-C211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 xml:space="preserve">INSTITUT ZA KARDIOVASKULARNE BOLESTI "DEDINjE", 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  <w:t>UNIVERZITETSKI KLINIČKI CENTAR SRBIJE, Klinika za kardiologiju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ORG-100048522, Kiniksa Pharmaceuticals GmbH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Syneos Health d.o.o.</w:t>
            </w:r>
          </w:p>
          <w:p>
            <w:pPr>
              <w:pStyle w:val="3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</w:tr>
    </w:tbl>
    <w:p>
      <w:pPr>
        <w:pStyle w:val="3"/>
        <w:shd w:val="clear" w:fill="FFFFFF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pStyle w:val="3"/>
        <w:shd w:val="clear" w:fill="FFFFFF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3.Razno</w:t>
      </w:r>
    </w:p>
    <w:sectPr>
      <w:headerReference r:id="rId5" w:type="default"/>
      <w:footerReference r:id="rId6" w:type="default"/>
      <w:pgSz w:w="11906" w:h="16838"/>
      <w:pgMar w:top="1440" w:right="1797" w:bottom="1440" w:left="1797" w:header="567" w:footer="709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  <w:p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1D113624"/>
    <w:rsid w:val="2A85615F"/>
    <w:rsid w:val="620A5260"/>
    <w:rsid w:val="73BB6F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overflowPunct/>
      <w:bidi w:val="0"/>
      <w:spacing w:before="0" w:after="0" w:line="276" w:lineRule="auto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GB" w:bidi="ar-SA"/>
    </w:rPr>
  </w:style>
  <w:style w:type="paragraph" w:styleId="2">
    <w:name w:val="heading 1"/>
    <w:basedOn w:val="3"/>
    <w:next w:val="3"/>
    <w:qFormat/>
    <w:uiPriority w:val="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4">
    <w:name w:val="heading 2"/>
    <w:basedOn w:val="3"/>
    <w:next w:val="3"/>
    <w:qFormat/>
    <w:uiPriority w:val="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5">
    <w:name w:val="heading 3"/>
    <w:basedOn w:val="3"/>
    <w:next w:val="3"/>
    <w:qFormat/>
    <w:uiPriority w:val="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6">
    <w:name w:val="heading 4"/>
    <w:basedOn w:val="3"/>
    <w:next w:val="3"/>
    <w:qFormat/>
    <w:uiPriority w:val="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7">
    <w:name w:val="heading 5"/>
    <w:basedOn w:val="3"/>
    <w:next w:val="3"/>
    <w:qFormat/>
    <w:uiPriority w:val="0"/>
    <w:pPr>
      <w:keepNext/>
      <w:keepLines/>
      <w:spacing w:before="240" w:after="80"/>
      <w:outlineLvl w:val="4"/>
    </w:pPr>
    <w:rPr>
      <w:color w:val="666666"/>
    </w:rPr>
  </w:style>
  <w:style w:type="paragraph" w:styleId="8">
    <w:name w:val="heading 6"/>
    <w:basedOn w:val="3"/>
    <w:next w:val="3"/>
    <w:qFormat/>
    <w:uiPriority w:val="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9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LO-normal"/>
    <w:qFormat/>
    <w:uiPriority w:val="0"/>
    <w:pPr>
      <w:widowControl/>
      <w:suppressAutoHyphens/>
      <w:overflowPunct/>
      <w:bidi w:val="0"/>
      <w:spacing w:before="0" w:after="0" w:line="276" w:lineRule="auto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11">
    <w:name w:val="Body Text"/>
    <w:basedOn w:val="3"/>
    <w:qFormat/>
    <w:uiPriority w:val="0"/>
    <w:pPr>
      <w:spacing w:before="0" w:after="140" w:line="276" w:lineRule="auto"/>
    </w:pPr>
  </w:style>
  <w:style w:type="paragraph" w:styleId="12">
    <w:name w:val="caption"/>
    <w:basedOn w:val="3"/>
    <w:next w:val="1"/>
    <w:qFormat/>
    <w:uiPriority w:val="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13">
    <w:name w:val="footer"/>
    <w:basedOn w:val="1"/>
    <w:uiPriority w:val="0"/>
    <w:pPr>
      <w:tabs>
        <w:tab w:val="center" w:pos="4320"/>
        <w:tab w:val="right" w:pos="8640"/>
      </w:tabs>
    </w:pPr>
  </w:style>
  <w:style w:type="paragraph" w:styleId="14">
    <w:name w:val="header"/>
    <w:basedOn w:val="15"/>
    <w:uiPriority w:val="0"/>
  </w:style>
  <w:style w:type="paragraph" w:customStyle="1" w:styleId="15">
    <w:name w:val="Header and Footer"/>
    <w:basedOn w:val="1"/>
    <w:qFormat/>
    <w:uiPriority w:val="0"/>
  </w:style>
  <w:style w:type="paragraph" w:styleId="16">
    <w:name w:val="List"/>
    <w:basedOn w:val="11"/>
    <w:qFormat/>
    <w:uiPriority w:val="0"/>
    <w:rPr>
      <w:rFonts w:cs="Arial Unicode MS"/>
    </w:rPr>
  </w:style>
  <w:style w:type="paragraph" w:styleId="17">
    <w:name w:val="Subtitle"/>
    <w:basedOn w:val="3"/>
    <w:next w:val="3"/>
    <w:qFormat/>
    <w:uiPriority w:val="0"/>
    <w:pPr>
      <w:keepNext/>
      <w:keepLines/>
      <w:spacing w:before="0" w:after="320" w:line="240" w:lineRule="auto"/>
    </w:pPr>
    <w:rPr>
      <w:color w:val="666666"/>
      <w:sz w:val="30"/>
      <w:szCs w:val="30"/>
    </w:rPr>
  </w:style>
  <w:style w:type="paragraph" w:styleId="18">
    <w:name w:val="Title"/>
    <w:basedOn w:val="3"/>
    <w:next w:val="3"/>
    <w:qFormat/>
    <w:uiPriority w:val="0"/>
    <w:pPr>
      <w:keepNext/>
      <w:keepLines/>
      <w:spacing w:before="0" w:after="60"/>
    </w:pPr>
    <w:rPr>
      <w:sz w:val="52"/>
      <w:szCs w:val="52"/>
    </w:rPr>
  </w:style>
  <w:style w:type="paragraph" w:customStyle="1" w:styleId="19">
    <w:name w:val="Heading"/>
    <w:basedOn w:val="3"/>
    <w:next w:val="11"/>
    <w:qFormat/>
    <w:uiPriority w:val="0"/>
    <w:pPr>
      <w:keepNext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customStyle="1" w:styleId="20">
    <w:name w:val="Index"/>
    <w:basedOn w:val="3"/>
    <w:qFormat/>
    <w:uiPriority w:val="0"/>
    <w:pPr>
      <w:suppressLineNumbers/>
    </w:pPr>
    <w:rPr>
      <w:rFonts w:cs="Arial Unicode MS"/>
    </w:rPr>
  </w:style>
  <w:style w:type="paragraph" w:customStyle="1" w:styleId="21">
    <w:name w:val="Table Contents"/>
    <w:basedOn w:val="1"/>
    <w:qFormat/>
    <w:uiPriority w:val="0"/>
    <w:pPr>
      <w:widowControl w:val="0"/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638</Words>
  <Characters>4955</Characters>
  <Paragraphs>104</Paragraphs>
  <TotalTime>31</TotalTime>
  <ScaleCrop>false</ScaleCrop>
  <LinksUpToDate>false</LinksUpToDate>
  <CharactersWithSpaces>5711</CharactersWithSpaces>
  <Application>WPS Office_11.2.0.9906_F1E327BC-269C-435d-A152-05C5408002CA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2024-11-05T09:29:00Z</dcterms:created>
  <dc:creator>gligo</dc:creator>
  <cp:lastModifiedBy>gligo</cp:lastModifiedBy>
  <dcterms:modified xsi:type="dcterms:W3CDTF">2026-09-08T06:10:39Z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2057-11.2.0.9906</vt:lpwstr>
  </property>
</Properties>
</file>